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586d1_6k.htm"/>
      <w:bookmarkStart w:id="1" w:name="kstm2610586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YXT.COM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Jiangsu, 215011,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(512) 6689 9881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058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hyperlink w:anchor="tm2610586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75"/>
        <w:gridCol w:w="708"/>
        <w:gridCol w:w="106"/>
        <w:gridCol w:w="2534"/>
      </w:tblGrid>
      <w:tr>
        <w:trPr/>
        <w:tc>
          <w:tcPr>
            <w:tcW w:w="75" w:type="dxa"/>
            <w:tcBorders/>
            <w:vAlign w:val="center"/>
          </w:tcPr>
          <w:p>
            <w:pPr>
              <w:pStyle w:val="TableContents"/>
              <w:bidi w:val="0"/>
              <w:spacing w:before="0" w:after="283"/>
              <w:jc w:val="left"/>
              <w:rPr/>
            </w:pPr>
            <w:r>
              <w:rPr/>
              <w:t> </w:t>
            </w:r>
          </w:p>
        </w:tc>
        <w:tc>
          <w:tcPr>
            <w:tcW w:w="334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YXT.COM GROUP HOLDING LIMITED</w:t>
            </w:r>
          </w:p>
        </w:tc>
      </w:tr>
      <w:tr>
        <w:trPr/>
        <w:tc>
          <w:tcPr>
            <w:tcW w:w="75" w:type="dxa"/>
            <w:tcBorders/>
            <w:vAlign w:val="center"/>
          </w:tcPr>
          <w:p>
            <w:pPr>
              <w:pStyle w:val="TableContents"/>
              <w:bidi w:val="0"/>
              <w:spacing w:before="0" w:after="283"/>
              <w:jc w:val="left"/>
              <w:rPr/>
            </w:pPr>
            <w:r>
              <w:rPr/>
              <w:t> </w:t>
            </w:r>
          </w:p>
        </w:tc>
        <w:tc>
          <w:tcPr>
            <w:tcW w:w="33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Shen Cao</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 Cao</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0586d1_ex99-1.htm"/>
      <w:bookmarkStart w:id="3" w:name="kstm261058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Reports Full Year 2025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China, March 31, 2026 /GLOBE NEWSWIRE/ - YXT.com Group Holding Limited (NASDAQ: YXT) (“YXT.com” or the “Company”), a provider of AI-enabled enterprise productivity solutions, today announced its unaudited financial results for the full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the Full Year of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Total revenues </w:t>
            </w:r>
            <w:r>
              <w:rPr>
                <w:rFonts w:ascii="Times New Roman;Times;Serif" w:hAnsi="Times New Roman;Times;Serif"/>
              </w:rPr>
              <w:t>were RMB340.2 million (US$48.7 million) for the full year of 2025, compared with RMB331.2 million in the prior year, representing an increase of 2.7%.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Gross margin </w:t>
            </w:r>
            <w:r>
              <w:rPr>
                <w:rFonts w:ascii="Times New Roman;Times;Serif" w:hAnsi="Times New Roman;Times;Serif"/>
              </w:rPr>
              <w:t>was 68.3% for the full year of 2025, compared with 61.8% in the prior year, representing an increase of 6.5 percentage points.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xml:space="preserve"> was RMB158.9 million (US$22.7 million), compared with RMB92.1 million in the prior year. Adjusted net loss was RMB146.6 million (US$21.0 million), compared with RMB199.3 million in the prior year, representing a decrease of RMB52.7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Number of subscription customers </w:t>
            </w:r>
            <w:r>
              <w:rPr>
                <w:rFonts w:ascii="Times New Roman;Times;Serif" w:hAnsi="Times New Roman;Times;Serif"/>
              </w:rPr>
              <w:t xml:space="preserve">was 2,301 as of December 31, 2025, compared with 2,405 as of December 31, 2024. </w:t>
            </w:r>
            <w:r>
              <w:rPr>
                <w:rFonts w:ascii="Times New Roman;Times;Serif" w:hAnsi="Times New Roman;Times;Serif"/>
                <w:b/>
              </w:rPr>
              <w:t>Net revenue retention rates (“NRR”</w:t>
            </w:r>
            <w:r>
              <w:rPr>
                <w:rFonts w:ascii="Times New Roman;Times;Serif" w:hAnsi="Times New Roman;Times;Serif"/>
                <w:b/>
                <w:position w:val="7"/>
                <w:sz w:val="16"/>
                <w:sz w:val="20"/>
              </w:rPr>
              <w:t>1</w:t>
            </w:r>
            <w:r>
              <w:rPr>
                <w:rFonts w:ascii="Times New Roman;Times;Serif" w:hAnsi="Times New Roman;Times;Serif"/>
                <w:b/>
              </w:rPr>
              <w:t xml:space="preserve">) of subscription customers </w:t>
            </w:r>
            <w:r>
              <w:rPr>
                <w:rFonts w:ascii="Times New Roman;Times;Serif" w:hAnsi="Times New Roman;Times;Serif"/>
              </w:rPr>
              <w:t>remained stable at 101.4%, compared with 100.9% in the prior year. The change reflects the Company’s strategic shift towards large enterprise accounts with consistent demand for corporate learning solutions and the launch of AI-products, leading to the increase of revenue and anticipated churn of small and medium-sized customers from the Company’s portfolio.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Monthly Recurring Revenue (“MRR”</w:t>
            </w:r>
            <w:r>
              <w:rPr>
                <w:rFonts w:ascii="Times New Roman;Times;Serif" w:hAnsi="Times New Roman;Times;Serif"/>
                <w:b/>
                <w:position w:val="7"/>
                <w:sz w:val="16"/>
                <w:sz w:val="20"/>
              </w:rPr>
              <w:t>2</w:t>
            </w:r>
            <w:r>
              <w:rPr>
                <w:rFonts w:ascii="Times New Roman;Times;Serif" w:hAnsi="Times New Roman;Times;Serif"/>
                <w:b/>
              </w:rPr>
              <w:t>) of AI-related product</w:t>
            </w:r>
            <w:r>
              <w:rPr>
                <w:rFonts w:ascii="Times New Roman;Times;Serif" w:hAnsi="Times New Roman;Times;Serif"/>
              </w:rPr>
              <w:t xml:space="preserve"> was RMB1.1 million (US$0.2 million) as of December 31, 2025, compared with RMB0.3 million as of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Peter Lu, Director, Founder and Chairman of the Board of YXT.com, commented, “2025 was a defining year for us as we accelerated our ‘AI-first’ transformation. By strategically pivoting to the large enterprise market and refining our customer portfolio, we have validated the immense value our solutions bring to industry leaders through steady core business growth. The exponential leap in our AI-related MRR signals our successful evolution from a traditional digital learning platform into an AI-driven corporate productivity engine. Looking ahead, we will continue to unleash the potential of AI to define a transformative paradigm of organizational efficiency for leading global enterprises.”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Shen Cao, Chief Financial Officer of YXT.com, added, “Our strategic shift toward a higher-quality revenue mix has stabilized NRR at 101.4%. Meanwhile, AI-powered efficiencies propelled our gross margin to 68.3% while allowing us to cut costs even as revenue grew. This synergy of 'higher revenue quality and lower cost structures' is a clear testament to our enhanced operating leverage. With the increased efficiencies, refined revenue mix and ongoing expense optimization efforts, we expect the adjusted net loss will still decrease significantly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NRR is calculated by specifying a measurement period consisting of the trailing twenty-four months from the given period end, and using (i) the total subscription revenue for the first twelve months of the measurement period from the group of customers as of the end of the first twelve months as the denominator, and (ii) the total subscription revenue for the second twelve months of the measurement period from the same group of customers as the numerator.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MRR is calculated based on the total contract value divided by the total number of months of the agreement based on the start and end dates of each contracted line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Full Year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RMB340.2 million (US$48.7 million), compared with RMB331.2 million in the prior year, representing an increase of 2.7%.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Revenues from corporate learning solutions</w:t>
            </w:r>
            <w:r>
              <w:rPr>
                <w:rFonts w:ascii="Times New Roman;Times;Serif" w:hAnsi="Times New Roman;Times;Serif"/>
              </w:rPr>
              <w:t xml:space="preserve"> were RMB337.7 million (US$48.3 million), compared with RMB325.6 million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i/>
              </w:rPr>
              <w:t xml:space="preserve">Revenues from subscription based corporate learning solutions </w:t>
            </w:r>
            <w:r>
              <w:rPr/>
              <w:t>were RMB317.4 million (US$45.4 million), compared with RMB301.8 million in the prior year. The change was primarily due to our business expansion strategy to focus on large enterprises with strong and steady demand for corporate learning solutions and the launch of AI-related products, leading to the increase of revenues.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i/>
              </w:rPr>
              <w:t xml:space="preserve">Revenues from non-subscription based corporate learning solutions </w:t>
            </w:r>
            <w:r>
              <w:rPr/>
              <w:t>were RMB20.3 million (US$2.9 million), compared with RMB23.8 million in the prior year. The change was primarily due to reduced offline solutions reflecting the Company’s strategic emphasis on subscription-based, digitized corporate learning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Revenues from others</w:t>
            </w:r>
            <w:r>
              <w:rPr>
                <w:rFonts w:ascii="Times New Roman;Times;Serif" w:hAnsi="Times New Roman;Times;Serif"/>
              </w:rPr>
              <w:t xml:space="preserve"> were RMB2.5 million (US$0.4 million), compared with RMB5.6 million in the prior year. The change primarily reflects fewer customized software projects completed in 2025, aligning with the Company’s new strategic focus.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RMB107.7 million (US$15.4 million), compared with RMB126.5 million in the prior year, representing a decrease of 14.9%. This was mainly due to (i) raise in productivity in the Company’s operation leveraging AI tools; (ii) decreased staff expenses and third-party infrastructure costs through operational optimization; and (iii) lower instructor compensation costs due to the reduction of offline solutions, aligning with our strategic emphasis on subscription-based, digitized and AI-powered corporate learning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68.3%, compared with 61.8% in the prior year, representing an increase of 6.5 percentage points. This was mainly driven by the Company's continual focus on large enterprise subscription customers, higher-marginal-contribution solutions and ongoing cost optimization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RMB144.9 million (US$20.7 million), compared with RMB144.2 million in the prior year, representing an increase of 0.5%. This was mainly due to (i) the increase of marketing expenses for the promotion activities, especially for the AI-related products; and partially offset by (ii) decreases in compensation paid to sales and marketing staff due to the Company’s efforts in better relocating its human resources, which was also resulted from the raise in productivity in acquiring, converting and retaining customers and realizing revenues aided by AI tools and the Company’s branding campaign.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RMB111.4 million (US$15.9 million), compared with RMB116.1 million in the prior year, representing a decrease of 4.0%. This was mainly due to (i) increased R&amp;D return on investment due to the Company’s new discipline and approach to product-market-fit; and (ii) decreases in compensation paid to research and development staff due to the Company’s efforts in better relocating its human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RMB122.0 million (US$17.4 million), compared with RMB138.4 million in the prior year, representing a decrease of 11.9%. This was mainly due to (i) the decrease in compensation paid to general and administrative staff due to the Company’s efforts in better relocating its human resources; and (ii) the decrease of general office and administrative expenses for the ongoing expense optimization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adjusted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RMB158.9 million (US$22.7 million), compared with RMB92.1 million in the prior year. Adjusted net loss was RMB146.6 million (US$21.0 million), compared with RMB199.3 million in the prior year, representing a decrease of 26.4%.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was RMB0.87 (US$0.12), compared with basic net income per share of RMB2.90 and diluted net loss per share of RMB0.55 in the prior year. The change in basic and diluted net income/(loss) per share was primarily attributable to the impact of deemed contribution to ordinary shareholders due to modifications and extinguishment on convertible redeemable preferred shares in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and restricted cash and short-term investment of RMB134.7 million (US$19.3 million), compared with RMB418.2 million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adjusted net loss as a supplemental non-GAAP measure to review and assess our operating performance. Adjusted net loss is net loss excluding gain on deconsolidation of CEIBS Publishing Group , share-based compensation, change in fair value of derivative liabilities, net of income taxes, to the extent applicable. The presentation of the non-GAAP financial measure is not intended to be considered in isolation or as a substitute for the financial information prepared and presented in accordance with U.S. GAAP. We present the non-GAAP financial measure because it is used by our management to evaluate our operating performance and formulate business plans. We also believe that the use of the non-GAAP measure facilitates investors’ assessment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 is not defined under U.S. GAAP and is not presented in accordance with U.S. GAAP. The non-GAAP financial measure has limitations as analytical tools. One of the key limitations of using the non-GAAP financial measure is that it does not reflect all items of income and expense that affect our operations. Further, the non-GAAP measure may differ from the non-GAAP information used by other companies, including peer companies, and therefore its comparability may be limited. We compensate for these limitations by reconciling the non-GAAP financial measure to the nearest U.S. GAAP performance measure, which should be considered when evaluating our performance. We encourage you to review our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Renminbi (“RMB”) amounts into U.S. dollars (“US$”) at specified rates solely for the convenience of the reader. Unless otherwise stated, all translations from Renminbi to U.S. dollars were made at the rate of RMB6.9931 to US$1.00, the exchange rate on December 31, 2025, set forth in the H.10 statistical release of the Federal Reserve Board. The Company makes no representation that the Renminbi or U.S. dollars amounts referred to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YXT.com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(NASDAQ: YXT) is a technology company focusing on enterprise productivity solutions. With a mission to "Empower people and organization development through technology," the Company strives to become the supreme provider in building and boosting enterprise productivity by combining over a decade of experience in tech-enabled talent learning and development and with AI-augmented task copilots and unleashing the power of knowledge and synergy. Since its inception, YXT.com has supported and received recognition from numerous Global and China Fortune 500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IR@radnova.com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Octans Capital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yxt.ir@octanscap.com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+86-10-6580-0653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3365"/>
        <w:gridCol w:w="60"/>
        <w:gridCol w:w="92"/>
        <w:gridCol w:w="1082"/>
        <w:gridCol w:w="60"/>
        <w:gridCol w:w="60"/>
        <w:gridCol w:w="60"/>
        <w:gridCol w:w="695"/>
        <w:gridCol w:w="60"/>
        <w:gridCol w:w="60"/>
        <w:gridCol w:w="60"/>
        <w:gridCol w:w="590"/>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475,419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346,517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328,075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46,914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72,506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a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consideration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361,892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594,706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8"/>
        <w:gridCol w:w="60"/>
        <w:gridCol w:w="70"/>
        <w:gridCol w:w="1070"/>
        <w:gridCol w:w="80"/>
        <w:gridCol w:w="60"/>
        <w:gridCol w:w="60"/>
        <w:gridCol w:w="905"/>
        <w:gridCol w:w="80"/>
        <w:gridCol w:w="60"/>
        <w:gridCol w:w="60"/>
        <w:gridCol w:w="755"/>
        <w:gridCol w:w="97"/>
      </w:tblGrid>
      <w:tr>
        <w:trPr/>
        <w:tc>
          <w:tcPr>
            <w:tcW w:w="68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(US$0.0001 par value; 483,068,176 Class A shares authorized, 163,294,773 and 171,596,634 shares issued as of December 31, 2024 and 2025, respectively; 163,294,773 and 161,525,163 shares issued and outstanding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(US$0.0001 par value; 16,931,824 and 16,931,824 shares authorized, issued and outstanding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(nil and 1,769,610 shares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3,489,553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500,759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(3,446,480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(492,840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10,673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72,506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 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6800"/>
        <w:gridCol w:w="60"/>
        <w:gridCol w:w="60"/>
        <w:gridCol w:w="755"/>
        <w:gridCol w:w="80"/>
        <w:gridCol w:w="60"/>
        <w:gridCol w:w="60"/>
        <w:gridCol w:w="755"/>
        <w:gridCol w:w="80"/>
        <w:gridCol w:w="60"/>
        <w:gridCol w:w="60"/>
        <w:gridCol w:w="650"/>
        <w:gridCol w:w="95"/>
      </w:tblGrid>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learning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(187,072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(141,036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available-for-sale debt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deconsolidation of CEIBS Publishing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 and share of results of an equity method investee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(158,384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an equity method investee,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(92,053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(91,753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45"/>
        <w:gridCol w:w="60"/>
        <w:gridCol w:w="60"/>
        <w:gridCol w:w="1055"/>
        <w:gridCol w:w="80"/>
        <w:gridCol w:w="60"/>
        <w:gridCol w:w="60"/>
        <w:gridCol w:w="1055"/>
        <w:gridCol w:w="80"/>
        <w:gridCol w:w="60"/>
        <w:gridCol w:w="60"/>
        <w:gridCol w:w="1055"/>
        <w:gridCol w:w="275"/>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YXT.COM Group Holding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275" w:type="dxa"/>
            <w:tcBorders/>
            <w:shd w:fill="CCEEFF" w:val="clear"/>
            <w:vAlign w:val="center"/>
          </w:tcPr>
          <w:p>
            <w:pPr>
              <w:pStyle w:val="TableContents"/>
              <w:bidi w:val="0"/>
              <w:spacing w:before="0" w:after="283"/>
              <w:ind w:left="0" w:right="0" w:firstLine="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sz w:val="20"/>
              </w:rPr>
            </w:pPr>
            <w:r>
              <w:rPr>
                <w:sz w:val="20"/>
              </w:rPr>
              <w:t>Deemed contribution to ordinary shareholders due to modifications and extinguishment on convertible redeemable preferred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sz w:val="20"/>
              </w:rPr>
            </w:pPr>
            <w:r>
              <w:rPr>
                <w:sz w:val="20"/>
              </w:rPr>
              <w:t>Deemed dividend to preferred shareholders due to modifications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both"/>
              <w:rPr>
                <w:sz w:val="20"/>
              </w:rPr>
            </w:pPr>
            <w:r>
              <w:rPr>
                <w:sz w:val="20"/>
              </w:rPr>
              <w:t>Net accretion of convertible redeemable preferred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attributable to ordinary shareholders of YXT.COM Group Holding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180"/>
              <w:jc w:val="left"/>
              <w:rPr/>
            </w:pPr>
            <w:r>
              <w:rPr/>
              <w:t> </w:t>
            </w:r>
          </w:p>
        </w:tc>
      </w:tr>
      <w:tr>
        <w:trPr/>
        <w:tc>
          <w:tcPr>
            <w:tcW w:w="6245" w:type="dxa"/>
            <w:tcBorders/>
            <w:shd w:fill="CCEEFF" w:val="clear"/>
            <w:vAlign w:val="center"/>
          </w:tcPr>
          <w:p>
            <w:pPr>
              <w:pStyle w:val="TableContents"/>
              <w:bidi w:val="0"/>
              <w:spacing w:before="0" w:after="283"/>
              <w:jc w:val="both"/>
              <w:rPr>
                <w:sz w:val="20"/>
              </w:rPr>
            </w:pPr>
            <w:r>
              <w:rPr>
                <w:sz w:val="20"/>
              </w:rPr>
              <w:t>Foreign currency translation adjustment,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275" w:type="dxa"/>
            <w:tcBorders/>
            <w:shd w:fill="CCEEFF" w:val="clear"/>
            <w:vAlign w:val="center"/>
          </w:tcPr>
          <w:p>
            <w:pPr>
              <w:pStyle w:val="TableContents"/>
              <w:bidi w:val="0"/>
              <w:spacing w:before="0" w:after="283"/>
              <w:ind w:left="0" w:right="0" w:firstLine="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sz w:val="20"/>
              </w:rPr>
            </w:pPr>
            <w:r>
              <w:rPr>
                <w:sz w:val="20"/>
              </w:rPr>
              <w:t>Unrealized (loss)/gain on investments in available-for-sale debt securities,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(90,732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(161,402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(23,078</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attributable to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(90,432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(161,402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(23,078</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180"/>
              <w:jc w:val="left"/>
              <w:rPr/>
            </w:pPr>
            <w:r>
              <w:rPr/>
              <w:t> </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attributable to ordinary shareholders of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Weighted average number of ordinary shares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97,788,561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181,828,823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181,828,823</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Weighted average number of ordinary shares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168,152,425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181,828,823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181,828,823</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both"/>
              <w:rPr/>
            </w:pPr>
            <w:r>
              <w:rPr/>
              <w:t>—</w:t>
            </w:r>
            <w:r>
              <w:rPr>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pPr>
            <w:r>
              <w:rPr/>
              <w:t>—</w:t>
            </w:r>
            <w:r>
              <w:rPr>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 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4340"/>
        <w:gridCol w:w="60"/>
        <w:gridCol w:w="60"/>
        <w:gridCol w:w="755"/>
        <w:gridCol w:w="80"/>
        <w:gridCol w:w="60"/>
        <w:gridCol w:w="60"/>
        <w:gridCol w:w="755"/>
        <w:gridCol w:w="80"/>
        <w:gridCol w:w="60"/>
        <w:gridCol w:w="60"/>
        <w:gridCol w:w="650"/>
        <w:gridCol w:w="9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(158,932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(22,725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deconsolidation of CEIBS Publishing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(199,312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(146,626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(20,965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3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(199,312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(146,626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(20,965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 9</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3015</Words>
  <Characters>17022</Characters>
  <CharactersWithSpaces>20642</CharactersWithSpaces>
  <Paragraphs>1717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